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9F2B8D" w:rsidRPr="0059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E0B25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A3F4B"/>
    <w:rsid w:val="00B615C6"/>
    <w:rsid w:val="00C713CE"/>
    <w:rsid w:val="00CF2A1C"/>
    <w:rsid w:val="00DA64CB"/>
    <w:rsid w:val="00EA4335"/>
    <w:rsid w:val="00F2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2018-09-04T07:32:00Z</dcterms:modified>
</cp:coreProperties>
</file>